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3532" w14:textId="77777777" w:rsidR="00953A02" w:rsidRDefault="00953A02">
      <w:pPr>
        <w:pStyle w:val="BodyText"/>
        <w:rPr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806"/>
      </w:tblGrid>
      <w:tr w:rsidR="00953A02" w:rsidRPr="00985A4E" w14:paraId="720D17FA" w14:textId="77777777" w:rsidTr="0049650B">
        <w:trPr>
          <w:trHeight w:val="6368"/>
        </w:trPr>
        <w:tc>
          <w:tcPr>
            <w:tcW w:w="2940" w:type="dxa"/>
          </w:tcPr>
          <w:p w14:paraId="10D66169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B63AD00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9F080CA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A898A2A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98663B8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3AC6A59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878D6BD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ED2D4A0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933A7EF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DBE634C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BF454E4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7699974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930BCE6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DCBA183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8001640" w14:textId="77777777" w:rsidR="00953A02" w:rsidRPr="00985A4E" w:rsidRDefault="00953A02">
            <w:pPr>
              <w:pStyle w:val="TableParagraph"/>
              <w:spacing w:before="98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662723C" w14:textId="0747C374" w:rsidR="00953A02" w:rsidRPr="00985A4E" w:rsidRDefault="00985A4E">
            <w:pPr>
              <w:pStyle w:val="TableParagraph"/>
              <w:ind w:left="115"/>
              <w:rPr>
                <w:rFonts w:ascii="Trebuchet MS" w:hAnsi="Trebuchet MS" w:cs="Trebuchet MS"/>
                <w:b/>
                <w:color w:val="007BB8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spacing w:val="-2"/>
                <w:sz w:val="24"/>
                <w:szCs w:val="24"/>
              </w:rPr>
              <w:t>Rezumat</w:t>
            </w:r>
            <w:proofErr w:type="spellEnd"/>
          </w:p>
        </w:tc>
        <w:tc>
          <w:tcPr>
            <w:tcW w:w="6806" w:type="dxa"/>
          </w:tcPr>
          <w:p w14:paraId="7D2CDB51" w14:textId="6ADB24C5" w:rsidR="00985A4E" w:rsidRPr="00985A4E" w:rsidRDefault="00985A4E" w:rsidP="00985A4E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right="96"/>
              <w:jc w:val="both"/>
              <w:rPr>
                <w:rFonts w:ascii="Trebuchet MS" w:hAnsi="Trebuchet MS"/>
                <w:color w:val="007BB8"/>
                <w:sz w:val="24"/>
                <w:szCs w:val="24"/>
              </w:rPr>
            </w:pPr>
            <w:r w:rsidRPr="00985A4E">
              <w:rPr>
                <w:rFonts w:ascii="Trebuchet MS" w:hAnsi="Trebuchet MS"/>
                <w:color w:val="007BB8"/>
                <w:sz w:val="24"/>
                <w:szCs w:val="24"/>
              </w:rPr>
              <w:t>Leadership</w:t>
            </w:r>
            <w:r>
              <w:rPr>
                <w:rFonts w:ascii="Trebuchet MS" w:hAnsi="Trebuchet MS"/>
                <w:color w:val="007BB8"/>
                <w:sz w:val="24"/>
                <w:szCs w:val="24"/>
              </w:rPr>
              <w:t xml:space="preserve"> (Curs </w:t>
            </w:r>
            <w:proofErr w:type="spellStart"/>
            <w:r>
              <w:rPr>
                <w:rFonts w:ascii="Trebuchet MS" w:hAnsi="Trebuchet MS"/>
                <w:color w:val="007BB8"/>
                <w:sz w:val="24"/>
                <w:szCs w:val="24"/>
              </w:rPr>
              <w:t>organizat</w:t>
            </w:r>
            <w:proofErr w:type="spellEnd"/>
            <w:r>
              <w:rPr>
                <w:rFonts w:ascii="Trebuchet MS" w:hAnsi="Trebuchet MS"/>
                <w:color w:val="007BB8"/>
                <w:sz w:val="24"/>
                <w:szCs w:val="24"/>
              </w:rPr>
              <w:t xml:space="preserve"> de Academia de </w:t>
            </w:r>
            <w:proofErr w:type="spellStart"/>
            <w:r>
              <w:rPr>
                <w:rFonts w:ascii="Trebuchet MS" w:hAnsi="Trebuchet MS"/>
                <w:color w:val="007BB8"/>
                <w:sz w:val="24"/>
                <w:szCs w:val="24"/>
              </w:rPr>
              <w:t>Stiinte</w:t>
            </w:r>
            <w:proofErr w:type="spellEnd"/>
            <w:r>
              <w:rPr>
                <w:rFonts w:ascii="Trebuchet MS" w:hAnsi="Trebuchet MS"/>
                <w:color w:val="007BB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7BB8"/>
                <w:sz w:val="24"/>
                <w:szCs w:val="24"/>
              </w:rPr>
              <w:t>Economice</w:t>
            </w:r>
            <w:proofErr w:type="spellEnd"/>
            <w:r>
              <w:rPr>
                <w:rFonts w:ascii="Trebuchet MS" w:hAnsi="Trebuchet MS"/>
                <w:color w:val="007BB8"/>
                <w:sz w:val="24"/>
                <w:szCs w:val="24"/>
              </w:rPr>
              <w:t xml:space="preserve"> D.A. Tsenov din Svishtov, Bulgaria)</w:t>
            </w:r>
          </w:p>
          <w:p w14:paraId="7F36228E" w14:textId="26D60FE7" w:rsidR="00985A4E" w:rsidRPr="00985A4E" w:rsidRDefault="00985A4E" w:rsidP="00985A4E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right="96"/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Acest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curs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comun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va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fi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susținut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limba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engleză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la Svishtov.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Toți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cei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trei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parteneri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vor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colabora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procesul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organizare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gramStart"/>
            <w:r w:rsidRPr="00985A4E">
              <w:rPr>
                <w:rFonts w:ascii="Trebuchet MS" w:hAnsi="Trebuchet MS"/>
                <w:sz w:val="24"/>
                <w:szCs w:val="24"/>
              </w:rPr>
              <w:t>a</w:t>
            </w:r>
            <w:proofErr w:type="gram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acestui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curs.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Grupul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țintă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va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fi format din 20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studenți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la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ambele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universități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Universitatea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din Craiova (UCV)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Academia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Economie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D. A. Tsenov (TAE).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timpul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acestui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curs,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studenții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din Craiova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vor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fi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conectați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online cu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profesorii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lor. Studenții din Svishtov se pot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conecta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online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sau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pot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participa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personal,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utilizând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infrastructura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locală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. La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sfârșitul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acestui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curs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comun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participanții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vor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avea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trei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zile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învățare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personală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activități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practice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Svishtov.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Educatorii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vor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insista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asupra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părții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practice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aceste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ultime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3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zile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. Studenții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vor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primi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certificate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participare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, ECTS,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conformitate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legislația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bulgară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70BAB4AA" w14:textId="77777777" w:rsidR="00985A4E" w:rsidRPr="00985A4E" w:rsidRDefault="00985A4E" w:rsidP="00985A4E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Cursul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(80 de ore)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cuprinde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patru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module (Leadership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durabil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, Leadership strategic, Leadership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inovator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Inteligență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multiculturală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),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fiecare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cu o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durată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20 de ore,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total 80 de ore.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Competențele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participanților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vor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fi evaluate la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sfârșitul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cursului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.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plus, la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sfârșitul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cursului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participanții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vor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completa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un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chestionar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gramStart"/>
            <w:r w:rsidRPr="00985A4E">
              <w:rPr>
                <w:rFonts w:ascii="Trebuchet MS" w:hAnsi="Trebuchet MS"/>
                <w:sz w:val="24"/>
                <w:szCs w:val="24"/>
              </w:rPr>
              <w:t>a</w:t>
            </w:r>
            <w:proofErr w:type="gram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evalua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gradul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lor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satisfacție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. Studenții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bulgari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vor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prezenta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istoria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frumusețea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orașului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lor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studenților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români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timpul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celor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trei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zile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standard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petrecute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la Svishtov.</w:t>
            </w:r>
          </w:p>
          <w:p w14:paraId="45B1C562" w14:textId="77777777" w:rsidR="00985A4E" w:rsidRPr="00985A4E" w:rsidRDefault="00985A4E" w:rsidP="00985A4E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Acest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curs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explorează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modul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care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leadershipul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joacă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un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rol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vital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formularea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strategiilor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un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viitor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durabil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mobilizarea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oamenilor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acționeze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împreună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contextul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schimbărilor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climatice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. Studenții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absolvenții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vor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examina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modul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care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leadershipul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este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integrat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tranziția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verde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participarea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activă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inspirarea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altora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dezvoltarea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abordări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inovatoare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la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provocările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mediu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. </w:t>
            </w:r>
          </w:p>
          <w:p w14:paraId="65D0DDC7" w14:textId="5B71633D" w:rsidR="00985A4E" w:rsidRPr="00985A4E" w:rsidRDefault="00985A4E" w:rsidP="00985A4E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985A4E">
              <w:rPr>
                <w:rFonts w:ascii="Trebuchet MS" w:hAnsi="Trebuchet MS"/>
                <w:sz w:val="24"/>
                <w:szCs w:val="24"/>
              </w:rPr>
              <w:t xml:space="preserve">Sunt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abordate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teme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precum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conducerea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exemplu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elaborarea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politici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reducerea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amprentei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carbon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gestionarea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tranziției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la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modele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consum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tradiționale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la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modele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durabile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.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Acest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cadru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oferă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o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înțelegere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cuprinzătoare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modului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care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liderii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pot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medii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modele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afaceri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inovatoare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care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promovează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dezvoltarea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lastRenderedPageBreak/>
              <w:t>durabilă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favorizând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același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timp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reziliența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economică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03B9D674" w14:textId="14814937" w:rsidR="00985A4E" w:rsidRPr="00985A4E" w:rsidRDefault="00985A4E" w:rsidP="00985A4E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right="96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Curriculumul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se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concentrează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pe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patru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piloni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cheie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ai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leadershipului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>:</w:t>
            </w:r>
          </w:p>
          <w:p w14:paraId="4849EA47" w14:textId="35F499B7" w:rsidR="00985A4E" w:rsidRPr="00985A4E" w:rsidRDefault="00985A4E" w:rsidP="00985A4E">
            <w:pPr>
              <w:pStyle w:val="TableParagraph"/>
              <w:numPr>
                <w:ilvl w:val="0"/>
                <w:numId w:val="7"/>
              </w:numPr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right="96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/>
                <w:b/>
                <w:bCs/>
                <w:sz w:val="24"/>
                <w:szCs w:val="24"/>
              </w:rPr>
              <w:t>Managementul</w:t>
            </w:r>
            <w:proofErr w:type="spellEnd"/>
            <w:r w:rsidRPr="00985A4E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b/>
                <w:bCs/>
                <w:sz w:val="24"/>
                <w:szCs w:val="24"/>
              </w:rPr>
              <w:t>schimbării</w:t>
            </w:r>
            <w:proofErr w:type="spellEnd"/>
            <w:r w:rsidRPr="00985A4E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Conducerea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tranziției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către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practici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durabile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inovatoare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56AD93C9" w14:textId="790E918E" w:rsidR="00985A4E" w:rsidRPr="00985A4E" w:rsidRDefault="00985A4E" w:rsidP="00985A4E">
            <w:pPr>
              <w:pStyle w:val="TableParagraph"/>
              <w:numPr>
                <w:ilvl w:val="0"/>
                <w:numId w:val="7"/>
              </w:numPr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right="96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/>
                <w:b/>
                <w:bCs/>
                <w:sz w:val="24"/>
                <w:szCs w:val="24"/>
              </w:rPr>
              <w:t>Inovație</w:t>
            </w:r>
            <w:proofErr w:type="spellEnd"/>
            <w:r w:rsidRPr="00985A4E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Crearea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modele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afaceri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care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abordează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provocările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climatice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promovează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o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cultură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îmbunătățirii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continue.</w:t>
            </w:r>
          </w:p>
          <w:p w14:paraId="5C0B78BC" w14:textId="76F495E8" w:rsidR="00985A4E" w:rsidRPr="00985A4E" w:rsidRDefault="00985A4E" w:rsidP="00985A4E">
            <w:pPr>
              <w:pStyle w:val="TableParagraph"/>
              <w:numPr>
                <w:ilvl w:val="0"/>
                <w:numId w:val="7"/>
              </w:numPr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right="96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/>
                <w:b/>
                <w:bCs/>
                <w:sz w:val="24"/>
                <w:szCs w:val="24"/>
              </w:rPr>
              <w:t>Planificare</w:t>
            </w:r>
            <w:proofErr w:type="spellEnd"/>
            <w:r w:rsidRPr="00985A4E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b/>
                <w:bCs/>
                <w:sz w:val="24"/>
                <w:szCs w:val="24"/>
              </w:rPr>
              <w:t>strategică</w:t>
            </w:r>
            <w:proofErr w:type="spellEnd"/>
            <w:r w:rsidRPr="00985A4E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Adaptarea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obiectivelor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organizaționale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la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condițiile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mediu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schimbare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îmbunătățirea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capacităților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luare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deciziilor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3F23A1A8" w14:textId="6BCDF0A9" w:rsidR="00985A4E" w:rsidRPr="00985A4E" w:rsidRDefault="00985A4E" w:rsidP="00985A4E">
            <w:pPr>
              <w:pStyle w:val="TableParagraph"/>
              <w:numPr>
                <w:ilvl w:val="0"/>
                <w:numId w:val="7"/>
              </w:numPr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right="96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/>
                <w:b/>
                <w:bCs/>
                <w:sz w:val="24"/>
                <w:szCs w:val="24"/>
              </w:rPr>
              <w:t>Inteligență</w:t>
            </w:r>
            <w:proofErr w:type="spellEnd"/>
            <w:r w:rsidRPr="00985A4E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b/>
                <w:bCs/>
                <w:sz w:val="24"/>
                <w:szCs w:val="24"/>
              </w:rPr>
              <w:t>multiculturală</w:t>
            </w:r>
            <w:proofErr w:type="spellEnd"/>
            <w:r w:rsidRPr="00985A4E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Recunoașterea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diferențelor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culturale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îmbunătăți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comunicarea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interacțiunea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echipe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diverse,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asigurând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un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mediu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lucru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armonios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productiv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797AAB5D" w14:textId="54FD904F" w:rsidR="0049650B" w:rsidRPr="00985A4E" w:rsidRDefault="00985A4E" w:rsidP="00985A4E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360" w:right="96"/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Examinând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intersecția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dintre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leadership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sustenabilitate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acest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curs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subliniază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importanța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leadershipului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etic, 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colaborării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părțile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interesate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practicilor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comerciale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responsabile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.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Acesta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pregătește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studenții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contribuie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la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structuri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guvernanță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solide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colaboreze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organismele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guvernamentale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protecția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mediului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. La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sfârșitul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acestui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curs,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satisfacția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participanților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va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fi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evaluată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intermediul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unui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sz w:val="24"/>
                <w:szCs w:val="24"/>
              </w:rPr>
              <w:t>chestionar</w:t>
            </w:r>
            <w:proofErr w:type="spellEnd"/>
            <w:r w:rsidRPr="00985A4E">
              <w:rPr>
                <w:rFonts w:ascii="Trebuchet MS" w:hAnsi="Trebuchet MS"/>
                <w:sz w:val="24"/>
                <w:szCs w:val="24"/>
              </w:rPr>
              <w:t>.</w:t>
            </w:r>
          </w:p>
        </w:tc>
      </w:tr>
    </w:tbl>
    <w:p w14:paraId="7B5DC222" w14:textId="77777777" w:rsidR="00953A02" w:rsidRPr="00985A4E" w:rsidRDefault="00953A02">
      <w:pPr>
        <w:pStyle w:val="TableParagraph"/>
        <w:spacing w:line="300" w:lineRule="auto"/>
        <w:jc w:val="both"/>
        <w:rPr>
          <w:sz w:val="24"/>
          <w:szCs w:val="24"/>
        </w:rPr>
        <w:sectPr w:rsidR="00953A02" w:rsidRPr="00985A4E">
          <w:headerReference w:type="default" r:id="rId7"/>
          <w:pgSz w:w="11910" w:h="16840"/>
          <w:pgMar w:top="2000" w:right="1417" w:bottom="280" w:left="566" w:header="709" w:footer="0" w:gutter="0"/>
          <w:cols w:space="720"/>
        </w:sectPr>
      </w:pPr>
    </w:p>
    <w:p w14:paraId="56ED9D58" w14:textId="77777777" w:rsidR="00953A02" w:rsidRPr="00985A4E" w:rsidRDefault="00953A02">
      <w:pPr>
        <w:pStyle w:val="BodyText"/>
        <w:rPr>
          <w:sz w:val="24"/>
          <w:szCs w:val="24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6731"/>
      </w:tblGrid>
      <w:tr w:rsidR="00953A02" w:rsidRPr="00985A4E" w14:paraId="174C04A0" w14:textId="77777777" w:rsidTr="00B332B9">
        <w:trPr>
          <w:trHeight w:val="4670"/>
        </w:trPr>
        <w:tc>
          <w:tcPr>
            <w:tcW w:w="2907" w:type="dxa"/>
          </w:tcPr>
          <w:p w14:paraId="74BA10B5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211FE47F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F8D8F9C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4CB4BB5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6243825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68AB1AC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1CEB8E0" w14:textId="77777777" w:rsidR="00953A02" w:rsidRPr="00985A4E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297355A" w14:textId="77777777" w:rsidR="00953A02" w:rsidRPr="00985A4E" w:rsidRDefault="00953A02">
            <w:pPr>
              <w:pStyle w:val="TableParagraph"/>
              <w:spacing w:before="141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35E6849" w14:textId="4292B69D" w:rsidR="00953A02" w:rsidRPr="00985A4E" w:rsidRDefault="00000000" w:rsidP="00985A4E">
            <w:pPr>
              <w:pStyle w:val="TableParagraph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Program</w:t>
            </w:r>
            <w:r w:rsidRPr="00985A4E">
              <w:rPr>
                <w:rFonts w:ascii="Trebuchet MS" w:hAnsi="Trebuchet MS" w:cs="Trebuchet MS"/>
                <w:b/>
                <w:color w:val="404040"/>
                <w:spacing w:val="-7"/>
                <w:sz w:val="24"/>
                <w:szCs w:val="24"/>
              </w:rPr>
              <w:t xml:space="preserve"> </w:t>
            </w:r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/</w:t>
            </w:r>
            <w:proofErr w:type="spellStart"/>
            <w:r w:rsidR="00985A4E" w:rsidRPr="00985A4E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>Programarea</w:t>
            </w:r>
            <w:proofErr w:type="spellEnd"/>
            <w:r w:rsidR="00985A4E" w:rsidRPr="00985A4E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85A4E" w:rsidRPr="00985A4E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>orelor</w:t>
            </w:r>
            <w:proofErr w:type="spellEnd"/>
            <w:r w:rsidR="00985A4E" w:rsidRPr="00985A4E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 pe </w:t>
            </w:r>
            <w:proofErr w:type="spellStart"/>
            <w:r w:rsidR="00985A4E" w:rsidRPr="00985A4E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>componente</w:t>
            </w:r>
            <w:proofErr w:type="spellEnd"/>
          </w:p>
        </w:tc>
        <w:tc>
          <w:tcPr>
            <w:tcW w:w="6731" w:type="dxa"/>
          </w:tcPr>
          <w:p w14:paraId="20551BD9" w14:textId="4B3888E9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w:rsidRPr="00985A4E">
              <w:rPr>
                <w:rFonts w:ascii="Segoe UI Symbol" w:hAnsi="Segoe UI Symbol" w:cs="Segoe UI Symbol"/>
                <w:sz w:val="24"/>
                <w:szCs w:val="24"/>
              </w:rPr>
              <w:t>➢</w:t>
            </w:r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Componenta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virtuală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(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Mobilitate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virtuală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– 56 ore) se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concentrează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pe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fundamentele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teoretice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cadrele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strategice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ale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leadershipului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contextul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sustenabilității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.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Principalele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teme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ale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acestui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curs (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componenta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virtuală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)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vor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fi:</w:t>
            </w:r>
          </w:p>
          <w:p w14:paraId="5F0FDFC6" w14:textId="77777777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Fundamentele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leadershipului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sustenabil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Înțelegerea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rolului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liderului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inspirarea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echipelor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prin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respect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conducerea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prin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exemplu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7E5524AB" w14:textId="77777777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Dezvoltarea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strategiilor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politicilor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ecologice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învățarea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modului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proiectare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cadrelor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organizaționale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care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reduc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amprenta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carbon.</w:t>
            </w:r>
          </w:p>
          <w:p w14:paraId="6F42C66A" w14:textId="77777777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Gestionarea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tranziției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durabile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strategii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trecerea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la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modelele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tradiționale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producție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consum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la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modele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durabile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55574B25" w14:textId="77777777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Planificarea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strategică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medii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volatile</w:t>
            </w:r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dezvoltarea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abilităților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adaptare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gramStart"/>
            <w:r w:rsidRPr="00985A4E">
              <w:rPr>
                <w:rFonts w:ascii="Trebuchet MS" w:hAnsi="Trebuchet MS" w:cs="Trebuchet MS"/>
                <w:sz w:val="24"/>
                <w:szCs w:val="24"/>
              </w:rPr>
              <w:t>a</w:t>
            </w:r>
            <w:proofErr w:type="gram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obiectivelor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organizaționale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la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condițiile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mediu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rapidă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schimbare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01C09654" w14:textId="77777777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Promovarea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unei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culturi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a</w:t>
            </w:r>
            <w:proofErr w:type="gram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inovării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ecologice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tehnici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crearea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unui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mediu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care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identifică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promovează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idei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afaceri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ecologice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14A5150C" w14:textId="77777777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Comunicare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interacțiune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multiculturală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:</w:t>
            </w:r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îmbunătățirea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abilităților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a conduce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echipe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diverse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a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construi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medii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lucru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armonioase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productive.</w:t>
            </w:r>
          </w:p>
          <w:p w14:paraId="40F2D8B9" w14:textId="77777777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Colaborarea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părților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interesate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planetă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metode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colaborare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cu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comunitățile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organismele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guvernamentale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atingerea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obiectivelor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mediu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5BA53A59" w14:textId="50F0CCEF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Luarea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deciziilor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etice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responsabilitatea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corporativă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: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Pregătirea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o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guvernanță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robustă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care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susțină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operațiuni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durabile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pe termen lung.</w:t>
            </w:r>
          </w:p>
          <w:p w14:paraId="1CA514E7" w14:textId="77777777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w:rsidRPr="00985A4E">
              <w:rPr>
                <w:rFonts w:ascii="Segoe UI Symbol" w:hAnsi="Segoe UI Symbol" w:cs="Segoe UI Symbol"/>
                <w:sz w:val="24"/>
                <w:szCs w:val="24"/>
              </w:rPr>
              <w:t>➢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Mobilitate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fizică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(24 de ore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Svishtov)</w:t>
            </w:r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. </w:t>
            </w:r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Componenta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fizică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este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dedicată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celor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3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zile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activități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practice intensive,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studii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caz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simulări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afaceri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. </w:t>
            </w:r>
          </w:p>
          <w:p w14:paraId="0F4E8C1F" w14:textId="36ACC241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lastRenderedPageBreak/>
              <w:t>Principalele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teme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ale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acestui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curs (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componenta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fizică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)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vor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fi:</w:t>
            </w:r>
          </w:p>
          <w:p w14:paraId="53624585" w14:textId="4B84EBEC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240"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Simularea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leadershipului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durabil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: un atelier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practic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„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Condu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prin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exemplu</w:t>
            </w:r>
            <w:proofErr w:type="spellEnd"/>
            <w:proofErr w:type="gramStart"/>
            <w:r w:rsidRPr="00985A4E">
              <w:rPr>
                <w:rFonts w:ascii="Trebuchet MS" w:hAnsi="Trebuchet MS" w:cs="Trebuchet MS"/>
                <w:sz w:val="24"/>
                <w:szCs w:val="24"/>
              </w:rPr>
              <w:t>”,</w:t>
            </w:r>
            <w:proofErr w:type="gram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care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studenții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rezolvă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provocări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reale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legate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sustenabilitatea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comunității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54889583" w14:textId="77777777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Workshopul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„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Foaia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parcurs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strategică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”: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elaborarea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unui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plan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tranziție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o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industrie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tradițională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vederea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trecerii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la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consumul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durabil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373560B7" w14:textId="21ABA39C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Provocarea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inovării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Dezvoltarea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prezentarea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unui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model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afaceri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ecologic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inovator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care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abordează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schimbările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climatice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15CC1F0E" w14:textId="49A85703" w:rsidR="00985A4E" w:rsidRPr="00985A4E" w:rsidRDefault="00985A4E" w:rsidP="00985A4E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Laboratorul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diversității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multiculturale</w:t>
            </w:r>
            <w:proofErr w:type="spellEnd"/>
            <w:r w:rsidRPr="00985A4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: </w:t>
            </w:r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O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sesiune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practică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axată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pe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gestionarea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diversității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elaborarea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strategii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eficiente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integrarea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echipelor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multiculturale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  <w:p w14:paraId="5DBC2E60" w14:textId="779054EC" w:rsidR="00953A02" w:rsidRPr="00985A4E" w:rsidRDefault="00985A4E" w:rsidP="00985A4E">
            <w:pPr>
              <w:pStyle w:val="TableParagraph"/>
              <w:tabs>
                <w:tab w:val="left" w:pos="360"/>
              </w:tabs>
              <w:spacing w:line="300" w:lineRule="auto"/>
              <w:ind w:left="115"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La final,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participanții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vor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completa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un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chestionar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gramStart"/>
            <w:r w:rsidRPr="00985A4E">
              <w:rPr>
                <w:rFonts w:ascii="Trebuchet MS" w:hAnsi="Trebuchet MS" w:cs="Trebuchet MS"/>
                <w:sz w:val="24"/>
                <w:szCs w:val="24"/>
              </w:rPr>
              <w:t>a</w:t>
            </w:r>
            <w:proofErr w:type="gram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evalua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gradul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lor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satisfacție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.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Chestionarul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va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include cel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puțin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cinci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întrebări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simple.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Participanților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li se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va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furniza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un cod QR cu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linkul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către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acest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chestionar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>.</w:t>
            </w:r>
          </w:p>
        </w:tc>
      </w:tr>
      <w:tr w:rsidR="00953A02" w14:paraId="72F25B44" w14:textId="77777777" w:rsidTr="00B332B9">
        <w:trPr>
          <w:trHeight w:val="90"/>
        </w:trPr>
        <w:tc>
          <w:tcPr>
            <w:tcW w:w="2907" w:type="dxa"/>
          </w:tcPr>
          <w:p w14:paraId="5A5A293E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FED156D" w14:textId="77777777" w:rsidR="00953A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55BD1A2" w14:textId="6815F054" w:rsidR="00953A02" w:rsidRDefault="00985A4E">
            <w:pPr>
              <w:pStyle w:val="TableParagraph"/>
              <w:spacing w:before="1" w:line="300" w:lineRule="auto"/>
              <w:ind w:right="145"/>
              <w:rPr>
                <w:rFonts w:ascii="Trebuchet MS" w:hAnsi="Trebuchet MS" w:cs="Trebuchet MS"/>
                <w:b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Competențe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abilități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dezvoltate</w:t>
            </w:r>
            <w:proofErr w:type="spellEnd"/>
          </w:p>
        </w:tc>
        <w:tc>
          <w:tcPr>
            <w:tcW w:w="6731" w:type="dxa"/>
          </w:tcPr>
          <w:p w14:paraId="1ACDA656" w14:textId="17F57E59" w:rsidR="00985A4E" w:rsidRPr="00985A4E" w:rsidRDefault="00985A4E" w:rsidP="00985A4E">
            <w:pPr>
              <w:pStyle w:val="TableParagraph"/>
              <w:numPr>
                <w:ilvl w:val="0"/>
                <w:numId w:val="4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Competențe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managementul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strategic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durabil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: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Participanții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dezvoltă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competențe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implementarea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practicilor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durabile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planificarea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analiza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strategică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gram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a</w:t>
            </w:r>
            <w:proofErr w:type="gram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adapta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obiectivele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organizaționale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la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condițiile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schimbare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îmbunătăți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procesul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decizional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.</w:t>
            </w:r>
          </w:p>
          <w:p w14:paraId="5E72F893" w14:textId="1EF2C314" w:rsidR="00985A4E" w:rsidRPr="00985A4E" w:rsidRDefault="00985A4E" w:rsidP="00985A4E">
            <w:pPr>
              <w:pStyle w:val="TableParagraph"/>
              <w:numPr>
                <w:ilvl w:val="0"/>
                <w:numId w:val="4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Competențe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leadershipul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eco-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inovării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: Studenții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învață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să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identifice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să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promoveze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idei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inovatoare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să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gestioneze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procesele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schimbare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să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creeze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o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cultură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îmbunătățirii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continue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gram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a</w:t>
            </w:r>
            <w:proofErr w:type="gram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inovării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gram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a</w:t>
            </w:r>
            <w:proofErr w:type="gram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aborda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provocările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mediu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.</w:t>
            </w:r>
          </w:p>
          <w:p w14:paraId="71340009" w14:textId="2192274B" w:rsidR="00953A02" w:rsidRDefault="00985A4E" w:rsidP="00985A4E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Competențe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inteligență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multiculturală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diversitate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: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Absolvenții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dobândesc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competențele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necesare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recunoaște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respecta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diferențele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culturale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îmbunătăți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comunicarea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cadrul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echipelor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multiculturale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dezvolta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strategii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eficiente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gestionare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diversității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într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-un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mediu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productiv</w:t>
            </w:r>
            <w:proofErr w:type="spellEnd"/>
            <w:r w:rsidRPr="00985A4E">
              <w:rPr>
                <w:rFonts w:ascii="Trebuchet MS" w:hAnsi="Trebuchet MS"/>
                <w:color w:val="404040"/>
                <w:sz w:val="24"/>
                <w:szCs w:val="24"/>
              </w:rPr>
              <w:t>.</w:t>
            </w:r>
          </w:p>
        </w:tc>
      </w:tr>
      <w:tr w:rsidR="00953A02" w14:paraId="0279B4F5" w14:textId="77777777" w:rsidTr="00B332B9">
        <w:trPr>
          <w:trHeight w:val="90"/>
        </w:trPr>
        <w:tc>
          <w:tcPr>
            <w:tcW w:w="2907" w:type="dxa"/>
          </w:tcPr>
          <w:p w14:paraId="56A44599" w14:textId="77777777" w:rsidR="00953A02" w:rsidRPr="00103302" w:rsidRDefault="00953A02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70EEF32" w14:textId="1D2448F1" w:rsidR="00953A02" w:rsidRPr="00103302" w:rsidRDefault="00985A4E">
            <w:pPr>
              <w:pStyle w:val="TableParagraph"/>
              <w:spacing w:line="300" w:lineRule="auto"/>
              <w:ind w:right="145"/>
              <w:rPr>
                <w:rFonts w:ascii="Trebuchet MS" w:hAnsi="Trebuchet MS" w:cs="Trebuchet MS"/>
                <w:b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Obiective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rezultate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ale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învățării</w:t>
            </w:r>
            <w:proofErr w:type="spellEnd"/>
          </w:p>
        </w:tc>
        <w:tc>
          <w:tcPr>
            <w:tcW w:w="6731" w:type="dxa"/>
          </w:tcPr>
          <w:p w14:paraId="03992F1A" w14:textId="1DDB4A1B" w:rsidR="00985A4E" w:rsidRPr="00985A4E" w:rsidRDefault="00985A4E" w:rsidP="00985A4E">
            <w:pPr>
              <w:pStyle w:val="TableParagraph"/>
              <w:numPr>
                <w:ilvl w:val="0"/>
                <w:numId w:val="5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Dobândirea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competențelor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necesare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implementarea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practicilor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durabile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cadrul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unei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organizații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conducerea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inițiativelor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care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reduc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amprenta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de carbon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promovează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protecția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mediului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.</w:t>
            </w:r>
          </w:p>
          <w:p w14:paraId="26B0A508" w14:textId="207B45DC" w:rsidR="00985A4E" w:rsidRPr="00985A4E" w:rsidRDefault="00985A4E" w:rsidP="00985A4E">
            <w:pPr>
              <w:pStyle w:val="TableParagraph"/>
              <w:numPr>
                <w:ilvl w:val="0"/>
                <w:numId w:val="5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Dezvoltarea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abilităților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planificare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strategică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analiză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gram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a</w:t>
            </w:r>
            <w:proofErr w:type="gram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adapta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obiectivele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organizaționale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la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condițiile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mediu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schimbare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îmbunătățind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același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timp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lastRenderedPageBreak/>
              <w:t>capacitatea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generală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luare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deciziilor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.</w:t>
            </w:r>
          </w:p>
          <w:p w14:paraId="61B7DA4D" w14:textId="30A49E12" w:rsidR="00985A4E" w:rsidRPr="00985A4E" w:rsidRDefault="00985A4E" w:rsidP="00985A4E">
            <w:pPr>
              <w:pStyle w:val="TableParagraph"/>
              <w:numPr>
                <w:ilvl w:val="0"/>
                <w:numId w:val="5"/>
              </w:numPr>
              <w:tabs>
                <w:tab w:val="clear" w:pos="420"/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Dobândirea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capacității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de </w:t>
            </w:r>
            <w:proofErr w:type="gram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a</w:t>
            </w:r>
            <w:proofErr w:type="gram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identifica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promova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idei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inovatoare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, de a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gestiona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procese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complexe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schimbare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de a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promova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o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cultură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îmbunătățirii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continue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gram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a</w:t>
            </w:r>
            <w:proofErr w:type="gram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inovării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ecologice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.</w:t>
            </w:r>
          </w:p>
          <w:p w14:paraId="6B9306D3" w14:textId="53DFB695" w:rsidR="00953A02" w:rsidRPr="00AD05CA" w:rsidRDefault="00985A4E" w:rsidP="00985A4E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Dobândirea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abilităților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necesare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recunoaște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respecta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diferențele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culturale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,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îmbunătățind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comunicarea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interacțiunea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pentru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a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crea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medii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lucru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armonioase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productive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în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echipe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multiculturale</w:t>
            </w:r>
            <w:proofErr w:type="spellEnd"/>
            <w:r w:rsidRPr="00985A4E">
              <w:rPr>
                <w:rFonts w:ascii="Trebuchet MS" w:hAnsi="Trebuchet MS" w:cs="Trebuchet MS"/>
                <w:color w:val="404040"/>
                <w:sz w:val="24"/>
                <w:szCs w:val="24"/>
              </w:rPr>
              <w:t>.</w:t>
            </w:r>
          </w:p>
        </w:tc>
      </w:tr>
      <w:tr w:rsidR="00953A02" w14:paraId="7916C413" w14:textId="77777777" w:rsidTr="00B332B9">
        <w:trPr>
          <w:trHeight w:val="1014"/>
        </w:trPr>
        <w:tc>
          <w:tcPr>
            <w:tcW w:w="2907" w:type="dxa"/>
          </w:tcPr>
          <w:p w14:paraId="121FC87D" w14:textId="5DB9FC1F" w:rsidR="00953A02" w:rsidRPr="00B82ADE" w:rsidRDefault="00985A4E">
            <w:pPr>
              <w:pStyle w:val="TableParagraph"/>
              <w:spacing w:line="300" w:lineRule="auto"/>
              <w:ind w:left="115" w:right="14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Metode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criterii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evaluare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(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dacă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este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cazul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)</w:t>
            </w:r>
          </w:p>
        </w:tc>
        <w:tc>
          <w:tcPr>
            <w:tcW w:w="6731" w:type="dxa"/>
          </w:tcPr>
          <w:p w14:paraId="24163E2F" w14:textId="22B924D6" w:rsidR="00B82ADE" w:rsidRPr="00B82ADE" w:rsidRDefault="00985A4E" w:rsidP="00B82ADE">
            <w:pPr>
              <w:pStyle w:val="TableParagraph"/>
              <w:numPr>
                <w:ilvl w:val="0"/>
                <w:numId w:val="5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studii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de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caz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și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sz w:val="24"/>
                <w:szCs w:val="24"/>
              </w:rPr>
              <w:t>simulări</w:t>
            </w:r>
            <w:proofErr w:type="spellEnd"/>
            <w:r w:rsidRPr="00985A4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r w:rsidR="00B82ADE" w:rsidRPr="00B82ADE">
              <w:rPr>
                <w:rFonts w:ascii="Trebuchet MS" w:hAnsi="Trebuchet MS" w:cs="Trebuchet MS"/>
                <w:sz w:val="24"/>
                <w:szCs w:val="24"/>
                <w:lang w:val="bg-BG"/>
              </w:rPr>
              <w:t>– 60%</w:t>
            </w:r>
          </w:p>
          <w:p w14:paraId="0B027A34" w14:textId="1D8A6E3B" w:rsidR="0027798A" w:rsidRPr="00B82ADE" w:rsidRDefault="0027798A" w:rsidP="00B82ADE">
            <w:pPr>
              <w:pStyle w:val="TableParagraph"/>
              <w:numPr>
                <w:ilvl w:val="0"/>
                <w:numId w:val="5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w:rsidRPr="00B82ADE">
              <w:rPr>
                <w:rFonts w:ascii="Trebuchet MS" w:hAnsi="Trebuchet MS" w:cs="Trebuchet MS"/>
                <w:sz w:val="24"/>
                <w:szCs w:val="24"/>
              </w:rPr>
              <w:t>Test</w:t>
            </w:r>
            <w:r w:rsidR="00B82ADE" w:rsidRPr="00B82AD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  <w:r w:rsidR="00B82ADE" w:rsidRPr="00B82ADE">
              <w:rPr>
                <w:rFonts w:ascii="Trebuchet MS" w:hAnsi="Trebuchet MS" w:cs="Trebuchet MS"/>
                <w:sz w:val="24"/>
                <w:szCs w:val="24"/>
                <w:lang w:val="bg-BG"/>
              </w:rPr>
              <w:t>– 40%</w:t>
            </w:r>
          </w:p>
        </w:tc>
      </w:tr>
      <w:tr w:rsidR="00953A02" w14:paraId="0F051C01" w14:textId="77777777" w:rsidTr="00B332B9">
        <w:trPr>
          <w:trHeight w:val="569"/>
        </w:trPr>
        <w:tc>
          <w:tcPr>
            <w:tcW w:w="2907" w:type="dxa"/>
          </w:tcPr>
          <w:p w14:paraId="796D0D07" w14:textId="7FB8E17D" w:rsidR="00953A02" w:rsidRDefault="00985A4E">
            <w:pPr>
              <w:pStyle w:val="TableParagraph"/>
              <w:spacing w:line="300" w:lineRule="auto"/>
              <w:ind w:left="115" w:right="14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Tipul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certificatului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eliberat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la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participare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sau</w:t>
            </w:r>
            <w:proofErr w:type="spellEnd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85A4E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>finalizare</w:t>
            </w:r>
            <w:proofErr w:type="spellEnd"/>
          </w:p>
        </w:tc>
        <w:tc>
          <w:tcPr>
            <w:tcW w:w="6731" w:type="dxa"/>
          </w:tcPr>
          <w:p w14:paraId="6799B6C2" w14:textId="2E49F365" w:rsidR="00953A02" w:rsidRDefault="00000000">
            <w:pPr>
              <w:pStyle w:val="TableParagraph"/>
              <w:ind w:left="115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Certificate </w:t>
            </w:r>
            <w:r w:rsidR="00985A4E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>de</w:t>
            </w:r>
            <w:r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 participa</w:t>
            </w:r>
            <w:r w:rsidR="00985A4E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>re</w:t>
            </w:r>
          </w:p>
        </w:tc>
      </w:tr>
    </w:tbl>
    <w:p w14:paraId="49C011AB" w14:textId="77777777" w:rsidR="00953A02" w:rsidRPr="00F81B9A" w:rsidRDefault="00953A02">
      <w:pPr>
        <w:rPr>
          <w:lang w:val="bg-BG"/>
        </w:rPr>
      </w:pPr>
    </w:p>
    <w:sectPr w:rsidR="00953A02" w:rsidRPr="00F81B9A">
      <w:pgSz w:w="11910" w:h="16840"/>
      <w:pgMar w:top="2000" w:right="1417" w:bottom="280" w:left="566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B315" w14:textId="77777777" w:rsidR="005C75FE" w:rsidRDefault="005C75FE">
      <w:r>
        <w:separator/>
      </w:r>
    </w:p>
  </w:endnote>
  <w:endnote w:type="continuationSeparator" w:id="0">
    <w:p w14:paraId="609458AE" w14:textId="77777777" w:rsidR="005C75FE" w:rsidRDefault="005C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A817" w14:textId="77777777" w:rsidR="005C75FE" w:rsidRDefault="005C75FE">
      <w:r>
        <w:separator/>
      </w:r>
    </w:p>
  </w:footnote>
  <w:footnote w:type="continuationSeparator" w:id="0">
    <w:p w14:paraId="392DA96B" w14:textId="77777777" w:rsidR="005C75FE" w:rsidRDefault="005C7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7184" w14:textId="63688195" w:rsidR="00953A02" w:rsidRDefault="00C360B8">
    <w:pPr>
      <w:pStyle w:val="BodyText"/>
      <w:spacing w:before="0"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5A85632" wp14:editId="43831AA3">
          <wp:simplePos x="0" y="0"/>
          <wp:positionH relativeFrom="column">
            <wp:posOffset>2540</wp:posOffset>
          </wp:positionH>
          <wp:positionV relativeFrom="paragraph">
            <wp:posOffset>-5715</wp:posOffset>
          </wp:positionV>
          <wp:extent cx="6299200" cy="711835"/>
          <wp:effectExtent l="0" t="0" r="6350" b="0"/>
          <wp:wrapTight wrapText="bothSides">
            <wp:wrapPolygon edited="0">
              <wp:start x="0" y="0"/>
              <wp:lineTo x="0" y="20810"/>
              <wp:lineTo x="21556" y="20810"/>
              <wp:lineTo x="21556" y="0"/>
              <wp:lineTo x="0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2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55B880E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37F5649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71DE6CB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712BBD07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35FFBA18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2E92EAA2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5540205E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82695FC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B54A43D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192D7AC6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00CBC3C4" w14:textId="77777777" w:rsidR="00953A02" w:rsidRDefault="00953A02">
    <w:pPr>
      <w:pStyle w:val="BodyText"/>
      <w:spacing w:before="0" w:line="14" w:lineRule="auto"/>
      <w:rPr>
        <w:b w:val="0"/>
        <w:sz w:val="20"/>
      </w:rPr>
    </w:pPr>
  </w:p>
  <w:p w14:paraId="2421F4C5" w14:textId="0047F401" w:rsidR="00953A02" w:rsidRDefault="00953A02">
    <w:pPr>
      <w:pStyle w:val="BodyText"/>
      <w:spacing w:before="0"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828A00"/>
    <w:multiLevelType w:val="singleLevel"/>
    <w:tmpl w:val="B3828A0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638E1EC"/>
    <w:multiLevelType w:val="singleLevel"/>
    <w:tmpl w:val="0638E1EC"/>
    <w:lvl w:ilvl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DC44A2C"/>
    <w:multiLevelType w:val="multilevel"/>
    <w:tmpl w:val="72A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D4949"/>
    <w:multiLevelType w:val="multilevel"/>
    <w:tmpl w:val="640E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31EBF"/>
    <w:multiLevelType w:val="multilevel"/>
    <w:tmpl w:val="300EEE86"/>
    <w:lvl w:ilvl="0">
      <w:start w:val="1"/>
      <w:numFmt w:val="decimal"/>
      <w:lvlText w:val="%1."/>
      <w:lvlJc w:val="left"/>
      <w:pPr>
        <w:ind w:left="115" w:hanging="263"/>
      </w:pPr>
      <w:rPr>
        <w:rFonts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788" w:hanging="26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56" w:hanging="2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4" w:hanging="2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2" w:hanging="2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1" w:hanging="2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29" w:hanging="2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97" w:hanging="2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65" w:hanging="263"/>
      </w:pPr>
      <w:rPr>
        <w:rFonts w:hint="default"/>
        <w:lang w:val="en-US" w:eastAsia="en-US" w:bidi="ar-SA"/>
      </w:rPr>
    </w:lvl>
  </w:abstractNum>
  <w:abstractNum w:abstractNumId="5" w15:restartNumberingAfterBreak="0">
    <w:nsid w:val="1B3A2F43"/>
    <w:multiLevelType w:val="multilevel"/>
    <w:tmpl w:val="A8A6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37399"/>
    <w:multiLevelType w:val="hybridMultilevel"/>
    <w:tmpl w:val="26C00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A82B01"/>
    <w:multiLevelType w:val="multilevel"/>
    <w:tmpl w:val="2CB2389A"/>
    <w:lvl w:ilvl="0">
      <w:start w:val="1"/>
      <w:numFmt w:val="bullet"/>
      <w:lvlText w:val=""/>
      <w:lvlJc w:val="left"/>
      <w:pPr>
        <w:ind w:left="115" w:hanging="263"/>
      </w:pPr>
      <w:rPr>
        <w:rFonts w:ascii="Symbol" w:hAnsi="Symbol"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788" w:hanging="26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56" w:hanging="2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4" w:hanging="2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2" w:hanging="2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1" w:hanging="2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29" w:hanging="2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97" w:hanging="2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65" w:hanging="263"/>
      </w:pPr>
      <w:rPr>
        <w:rFonts w:hint="default"/>
        <w:lang w:val="en-US" w:eastAsia="en-US" w:bidi="ar-SA"/>
      </w:rPr>
    </w:lvl>
  </w:abstractNum>
  <w:abstractNum w:abstractNumId="8" w15:restartNumberingAfterBreak="0">
    <w:nsid w:val="42606D5E"/>
    <w:multiLevelType w:val="singleLevel"/>
    <w:tmpl w:val="42606D5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6FA6AE4"/>
    <w:multiLevelType w:val="multilevel"/>
    <w:tmpl w:val="300EEE86"/>
    <w:lvl w:ilvl="0">
      <w:start w:val="1"/>
      <w:numFmt w:val="decimal"/>
      <w:lvlText w:val="%1."/>
      <w:lvlJc w:val="left"/>
      <w:pPr>
        <w:ind w:left="115" w:hanging="263"/>
      </w:pPr>
      <w:rPr>
        <w:rFonts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788" w:hanging="26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56" w:hanging="2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4" w:hanging="2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2" w:hanging="2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1" w:hanging="2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29" w:hanging="2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97" w:hanging="2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65" w:hanging="263"/>
      </w:pPr>
      <w:rPr>
        <w:rFonts w:hint="default"/>
        <w:lang w:val="en-US" w:eastAsia="en-US" w:bidi="ar-SA"/>
      </w:rPr>
    </w:lvl>
  </w:abstractNum>
  <w:abstractNum w:abstractNumId="10" w15:restartNumberingAfterBreak="0">
    <w:nsid w:val="59ADCABA"/>
    <w:multiLevelType w:val="multilevel"/>
    <w:tmpl w:val="A06A910E"/>
    <w:lvl w:ilvl="0">
      <w:start w:val="1"/>
      <w:numFmt w:val="bullet"/>
      <w:lvlText w:val=""/>
      <w:lvlJc w:val="left"/>
      <w:pPr>
        <w:ind w:left="115" w:hanging="263"/>
      </w:pPr>
      <w:rPr>
        <w:rFonts w:ascii="Symbol" w:hAnsi="Symbol"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788" w:hanging="26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56" w:hanging="2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4" w:hanging="2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2" w:hanging="2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1" w:hanging="2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29" w:hanging="2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97" w:hanging="2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65" w:hanging="263"/>
      </w:pPr>
      <w:rPr>
        <w:rFonts w:hint="default"/>
        <w:lang w:val="en-US" w:eastAsia="en-US" w:bidi="ar-SA"/>
      </w:rPr>
    </w:lvl>
  </w:abstractNum>
  <w:abstractNum w:abstractNumId="11" w15:restartNumberingAfterBreak="0">
    <w:nsid w:val="6B082B71"/>
    <w:multiLevelType w:val="singleLevel"/>
    <w:tmpl w:val="6B082B7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321695852">
    <w:abstractNumId w:val="1"/>
  </w:num>
  <w:num w:numId="2" w16cid:durableId="341007589">
    <w:abstractNumId w:val="10"/>
  </w:num>
  <w:num w:numId="3" w16cid:durableId="975990404">
    <w:abstractNumId w:val="0"/>
  </w:num>
  <w:num w:numId="4" w16cid:durableId="759717459">
    <w:abstractNumId w:val="8"/>
  </w:num>
  <w:num w:numId="5" w16cid:durableId="745343125">
    <w:abstractNumId w:val="11"/>
  </w:num>
  <w:num w:numId="6" w16cid:durableId="793449210">
    <w:abstractNumId w:val="6"/>
  </w:num>
  <w:num w:numId="7" w16cid:durableId="2146964401">
    <w:abstractNumId w:val="3"/>
  </w:num>
  <w:num w:numId="8" w16cid:durableId="155074274">
    <w:abstractNumId w:val="2"/>
  </w:num>
  <w:num w:numId="9" w16cid:durableId="110711658">
    <w:abstractNumId w:val="5"/>
  </w:num>
  <w:num w:numId="10" w16cid:durableId="2011787351">
    <w:abstractNumId w:val="9"/>
  </w:num>
  <w:num w:numId="11" w16cid:durableId="1788936442">
    <w:abstractNumId w:val="4"/>
  </w:num>
  <w:num w:numId="12" w16cid:durableId="155923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KyNDAztDA3NAeyzZV0lIJTi4sz8/NACgxrAcPQWMIsAAAA"/>
  </w:docVars>
  <w:rsids>
    <w:rsidRoot w:val="00172A27"/>
    <w:rsid w:val="000741F4"/>
    <w:rsid w:val="00103302"/>
    <w:rsid w:val="00172A27"/>
    <w:rsid w:val="00255BEC"/>
    <w:rsid w:val="00277091"/>
    <w:rsid w:val="0027798A"/>
    <w:rsid w:val="002D0D37"/>
    <w:rsid w:val="002E6E23"/>
    <w:rsid w:val="00311109"/>
    <w:rsid w:val="00386152"/>
    <w:rsid w:val="00467F08"/>
    <w:rsid w:val="0049650B"/>
    <w:rsid w:val="0053066C"/>
    <w:rsid w:val="00531588"/>
    <w:rsid w:val="005C75FE"/>
    <w:rsid w:val="006122C2"/>
    <w:rsid w:val="00671124"/>
    <w:rsid w:val="006A595C"/>
    <w:rsid w:val="00711A93"/>
    <w:rsid w:val="0077175B"/>
    <w:rsid w:val="007A1A01"/>
    <w:rsid w:val="00805D7D"/>
    <w:rsid w:val="008562EF"/>
    <w:rsid w:val="008868AB"/>
    <w:rsid w:val="008C1458"/>
    <w:rsid w:val="00953A02"/>
    <w:rsid w:val="00985A4E"/>
    <w:rsid w:val="00986034"/>
    <w:rsid w:val="00A44E62"/>
    <w:rsid w:val="00AC088D"/>
    <w:rsid w:val="00AD05CA"/>
    <w:rsid w:val="00AD1CDA"/>
    <w:rsid w:val="00AD2DE0"/>
    <w:rsid w:val="00AF7743"/>
    <w:rsid w:val="00B12147"/>
    <w:rsid w:val="00B332B9"/>
    <w:rsid w:val="00B334E1"/>
    <w:rsid w:val="00B82ADE"/>
    <w:rsid w:val="00BD7C69"/>
    <w:rsid w:val="00C360B8"/>
    <w:rsid w:val="00D264A8"/>
    <w:rsid w:val="00E6659A"/>
    <w:rsid w:val="00E70773"/>
    <w:rsid w:val="00EC5374"/>
    <w:rsid w:val="00EE5651"/>
    <w:rsid w:val="00F060B7"/>
    <w:rsid w:val="00F0677D"/>
    <w:rsid w:val="00F13B28"/>
    <w:rsid w:val="00F81B9A"/>
    <w:rsid w:val="0BA64779"/>
    <w:rsid w:val="0E012D37"/>
    <w:rsid w:val="15107C08"/>
    <w:rsid w:val="187B413A"/>
    <w:rsid w:val="19876131"/>
    <w:rsid w:val="1C5F4F91"/>
    <w:rsid w:val="1D026CD9"/>
    <w:rsid w:val="1E330118"/>
    <w:rsid w:val="21517B85"/>
    <w:rsid w:val="31362E4A"/>
    <w:rsid w:val="3F820370"/>
    <w:rsid w:val="48267CD3"/>
    <w:rsid w:val="48CB55FA"/>
    <w:rsid w:val="490F1047"/>
    <w:rsid w:val="4FD2207E"/>
    <w:rsid w:val="5DEC6A93"/>
    <w:rsid w:val="74D0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9C57"/>
  <w15:docId w15:val="{A9CF9CA2-71EA-4ABD-9E57-D059BD37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</w:pPr>
    <w:rPr>
      <w:rFonts w:ascii="Tahoma" w:eastAsia="Tahoma" w:hAnsi="Tahoma" w:cs="Tahoma"/>
      <w:b/>
      <w:bCs/>
      <w:sz w:val="64"/>
      <w:szCs w:val="6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43"/>
      <w:ind w:left="851" w:right="3"/>
      <w:jc w:val="center"/>
    </w:pPr>
    <w:rPr>
      <w:rFonts w:ascii="Tahoma" w:eastAsia="Tahoma" w:hAnsi="Tahoma" w:cs="Tahoma"/>
      <w:b/>
      <w:bCs/>
      <w:sz w:val="96"/>
      <w:szCs w:val="9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C360B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360B8"/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Diez Jayo</dc:creator>
  <cp:keywords/>
  <dc:description/>
  <cp:lastModifiedBy>Mihaela Udristioiu</cp:lastModifiedBy>
  <cp:revision>3</cp:revision>
  <cp:lastPrinted>2026-01-07T01:47:00Z</cp:lastPrinted>
  <dcterms:created xsi:type="dcterms:W3CDTF">2026-01-07T20:17:00Z</dcterms:created>
  <dcterms:modified xsi:type="dcterms:W3CDTF">2026-01-07T21:07:00Z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per Microsoft 365</vt:lpwstr>
  </property>
  <property fmtid="{D5CDD505-2E9C-101B-9397-08002B2CF9AE}" pid="6" name="KSOProductBuildVer">
    <vt:lpwstr>2057-12.2.0.23155</vt:lpwstr>
  </property>
  <property fmtid="{D5CDD505-2E9C-101B-9397-08002B2CF9AE}" pid="7" name="ICV">
    <vt:lpwstr>2AEBEAF2F4B3446D8C8F0AB34EB489F9_13</vt:lpwstr>
  </property>
  <property fmtid="{D5CDD505-2E9C-101B-9397-08002B2CF9AE}" pid="8" name="GrammarlyDocumentId">
    <vt:lpwstr>196f0044-cf2e-4290-9e47-e92d7d4b9020</vt:lpwstr>
  </property>
</Properties>
</file>